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197BB">
      <w:pPr>
        <w:autoSpaceDE w:val="0"/>
        <w:autoSpaceDN w:val="0"/>
        <w:spacing w:before="37"/>
        <w:ind w:left="1045" w:right="1024"/>
        <w:jc w:val="center"/>
        <w:outlineLvl w:val="1"/>
        <w:rPr>
          <w:rFonts w:hint="eastAsia" w:ascii="宋体" w:hAnsi="宋体" w:cs="宋体"/>
          <w:b/>
          <w:bCs/>
          <w:sz w:val="44"/>
          <w:szCs w:val="44"/>
          <w:lang w:val="en-US" w:bidi="zh-CN"/>
        </w:rPr>
      </w:pPr>
    </w:p>
    <w:p w14:paraId="63623BCE">
      <w:pPr>
        <w:autoSpaceDE w:val="0"/>
        <w:autoSpaceDN w:val="0"/>
        <w:spacing w:before="37"/>
        <w:ind w:left="1045" w:right="1024"/>
        <w:jc w:val="center"/>
        <w:outlineLvl w:val="1"/>
        <w:rPr>
          <w:rFonts w:hint="eastAsia" w:ascii="宋体" w:hAnsi="宋体" w:cs="宋体"/>
          <w:b/>
          <w:bCs/>
          <w:sz w:val="44"/>
          <w:szCs w:val="44"/>
          <w:lang w:val="en-US" w:bidi="zh-CN"/>
        </w:rPr>
      </w:pPr>
    </w:p>
    <w:p w14:paraId="14EFD4F7">
      <w:pPr>
        <w:autoSpaceDE w:val="0"/>
        <w:autoSpaceDN w:val="0"/>
        <w:spacing w:before="37"/>
        <w:ind w:left="1045" w:right="1024"/>
        <w:jc w:val="center"/>
        <w:outlineLvl w:val="1"/>
        <w:rPr>
          <w:rFonts w:hint="eastAsia" w:ascii="宋体" w:hAnsi="宋体" w:cs="宋体"/>
          <w:b/>
          <w:bCs/>
          <w:sz w:val="44"/>
          <w:szCs w:val="44"/>
          <w:lang w:val="en-US" w:bidi="zh-CN"/>
        </w:rPr>
      </w:pPr>
    </w:p>
    <w:p w14:paraId="0A414CE7">
      <w:pPr>
        <w:autoSpaceDE w:val="0"/>
        <w:autoSpaceDN w:val="0"/>
        <w:spacing w:before="37"/>
        <w:ind w:left="1045" w:right="1024"/>
        <w:jc w:val="center"/>
        <w:outlineLvl w:val="1"/>
        <w:rPr>
          <w:rFonts w:hint="eastAsia" w:ascii="宋体" w:hAnsi="宋体" w:cs="宋体"/>
          <w:b/>
          <w:bCs/>
          <w:sz w:val="44"/>
          <w:szCs w:val="44"/>
          <w:lang w:val="en-US" w:bidi="zh-CN"/>
        </w:rPr>
      </w:pPr>
    </w:p>
    <w:p w14:paraId="3702F271">
      <w:pPr>
        <w:autoSpaceDE w:val="0"/>
        <w:autoSpaceDN w:val="0"/>
        <w:spacing w:before="37"/>
        <w:ind w:left="1045" w:right="1024"/>
        <w:jc w:val="center"/>
        <w:outlineLvl w:val="1"/>
        <w:rPr>
          <w:rFonts w:hint="eastAsia" w:ascii="方正小标宋简体" w:hAnsi="方正小标宋简体" w:eastAsia="方正小标宋简体" w:cs="方正小标宋简体"/>
          <w:b w:val="0"/>
          <w:bCs w:val="0"/>
          <w:sz w:val="44"/>
          <w:szCs w:val="44"/>
          <w:lang w:val="zh-CN" w:bidi="zh-CN"/>
        </w:rPr>
      </w:pPr>
      <w:r>
        <w:rPr>
          <w:rFonts w:hint="eastAsia" w:ascii="方正小标宋简体" w:hAnsi="方正小标宋简体" w:eastAsia="方正小标宋简体" w:cs="方正小标宋简体"/>
          <w:b w:val="0"/>
          <w:bCs w:val="0"/>
          <w:sz w:val="44"/>
          <w:szCs w:val="44"/>
          <w:lang w:val="en-US" w:bidi="zh-CN"/>
        </w:rPr>
        <w:t>嘉峪关城市博物馆部门重点</w:t>
      </w:r>
      <w:r>
        <w:rPr>
          <w:rFonts w:hint="eastAsia" w:ascii="方正小标宋简体" w:hAnsi="方正小标宋简体" w:eastAsia="方正小标宋简体" w:cs="方正小标宋简体"/>
          <w:b w:val="0"/>
          <w:bCs w:val="0"/>
          <w:sz w:val="44"/>
          <w:szCs w:val="44"/>
          <w:lang w:val="zh-CN" w:bidi="zh-CN"/>
        </w:rPr>
        <w:t>绩效评价报告</w:t>
      </w:r>
    </w:p>
    <w:p w14:paraId="1DF4BA8C">
      <w:pPr>
        <w:autoSpaceDE w:val="0"/>
        <w:autoSpaceDN w:val="0"/>
        <w:jc w:val="left"/>
        <w:rPr>
          <w:rFonts w:ascii="宋体" w:hAnsi="仿宋" w:eastAsia="仿宋" w:cs="仿宋"/>
          <w:b/>
          <w:sz w:val="44"/>
          <w:szCs w:val="32"/>
          <w:lang w:val="zh-CN" w:bidi="zh-CN"/>
        </w:rPr>
      </w:pPr>
    </w:p>
    <w:p w14:paraId="37C854D6">
      <w:pPr>
        <w:autoSpaceDE w:val="0"/>
        <w:autoSpaceDN w:val="0"/>
        <w:jc w:val="left"/>
        <w:rPr>
          <w:rFonts w:ascii="宋体" w:hAnsi="仿宋" w:eastAsia="仿宋" w:cs="仿宋"/>
          <w:b/>
          <w:sz w:val="44"/>
          <w:szCs w:val="32"/>
          <w:lang w:val="zh-CN" w:bidi="zh-CN"/>
        </w:rPr>
      </w:pPr>
    </w:p>
    <w:p w14:paraId="1042095C">
      <w:pPr>
        <w:autoSpaceDE w:val="0"/>
        <w:autoSpaceDN w:val="0"/>
        <w:jc w:val="left"/>
        <w:rPr>
          <w:rFonts w:ascii="宋体" w:hAnsi="仿宋" w:eastAsia="仿宋" w:cs="仿宋"/>
          <w:b/>
          <w:sz w:val="44"/>
          <w:szCs w:val="32"/>
          <w:lang w:val="zh-CN" w:bidi="zh-CN"/>
        </w:rPr>
      </w:pPr>
    </w:p>
    <w:p w14:paraId="7DAF227E">
      <w:pPr>
        <w:autoSpaceDE w:val="0"/>
        <w:autoSpaceDN w:val="0"/>
        <w:jc w:val="left"/>
        <w:rPr>
          <w:rFonts w:ascii="宋体" w:hAnsi="仿宋" w:eastAsia="仿宋" w:cs="仿宋"/>
          <w:b/>
          <w:sz w:val="44"/>
          <w:szCs w:val="32"/>
          <w:lang w:val="zh-CN" w:bidi="zh-CN"/>
        </w:rPr>
      </w:pPr>
    </w:p>
    <w:p w14:paraId="758EF002">
      <w:pPr>
        <w:autoSpaceDE w:val="0"/>
        <w:autoSpaceDN w:val="0"/>
        <w:jc w:val="left"/>
        <w:rPr>
          <w:rFonts w:ascii="宋体" w:hAnsi="仿宋" w:eastAsia="仿宋" w:cs="仿宋"/>
          <w:b/>
          <w:sz w:val="44"/>
          <w:szCs w:val="32"/>
          <w:lang w:val="zh-CN" w:bidi="zh-CN"/>
        </w:rPr>
      </w:pPr>
    </w:p>
    <w:p w14:paraId="1846BB35">
      <w:pPr>
        <w:autoSpaceDE w:val="0"/>
        <w:autoSpaceDN w:val="0"/>
        <w:spacing w:before="4"/>
        <w:jc w:val="left"/>
        <w:rPr>
          <w:rFonts w:ascii="宋体" w:hAnsi="仿宋" w:eastAsia="仿宋" w:cs="仿宋"/>
          <w:b/>
          <w:sz w:val="33"/>
          <w:szCs w:val="32"/>
          <w:lang w:val="zh-CN" w:bidi="zh-CN"/>
        </w:rPr>
      </w:pPr>
    </w:p>
    <w:p w14:paraId="246321B3">
      <w:pPr>
        <w:keepNext w:val="0"/>
        <w:keepLines w:val="0"/>
        <w:pageBreakBefore w:val="0"/>
        <w:widowControl w:val="0"/>
        <w:tabs>
          <w:tab w:val="left" w:pos="6559"/>
        </w:tabs>
        <w:kinsoku/>
        <w:wordWrap/>
        <w:overflowPunct/>
        <w:topLinePunct w:val="0"/>
        <w:autoSpaceDE w:val="0"/>
        <w:autoSpaceDN w:val="0"/>
        <w:bidi w:val="0"/>
        <w:adjustRightInd/>
        <w:snapToGrid/>
        <w:spacing w:line="360" w:lineRule="auto"/>
        <w:ind w:left="0" w:leftChars="0" w:right="0" w:firstLine="1280" w:firstLineChars="400"/>
        <w:jc w:val="left"/>
        <w:textAlignment w:val="auto"/>
        <w:rPr>
          <w:rFonts w:ascii="Times New Roman" w:hAnsi="仿宋" w:eastAsia="Times New Roman" w:cs="仿宋"/>
          <w:w w:val="99"/>
          <w:sz w:val="32"/>
          <w:szCs w:val="32"/>
          <w:u w:val="single"/>
          <w:lang w:val="zh-CN" w:bidi="zh-CN"/>
        </w:rPr>
      </w:pPr>
      <w:r>
        <w:rPr>
          <w:rFonts w:ascii="仿宋" w:hAnsi="仿宋" w:eastAsia="仿宋" w:cs="仿宋"/>
          <w:sz w:val="32"/>
          <w:szCs w:val="32"/>
          <w:lang w:val="zh-CN" w:bidi="zh-CN"/>
        </w:rPr>
        <w:t>项目名称：</w:t>
      </w:r>
      <w:r>
        <w:rPr>
          <w:rFonts w:hint="eastAsia" w:ascii="仿宋" w:hAnsi="仿宋" w:eastAsia="仿宋" w:cs="仿宋"/>
          <w:sz w:val="32"/>
          <w:szCs w:val="32"/>
          <w:u w:val="single"/>
          <w:lang w:val="en-US" w:bidi="zh-CN"/>
        </w:rPr>
        <w:t>2024年免费开放补助资金项目</w:t>
      </w:r>
      <w:r>
        <w:rPr>
          <w:rFonts w:ascii="Times New Roman" w:hAnsi="仿宋" w:eastAsia="Times New Roman" w:cs="仿宋"/>
          <w:w w:val="99"/>
          <w:sz w:val="32"/>
          <w:szCs w:val="32"/>
          <w:u w:val="single"/>
          <w:lang w:val="zh-CN" w:bidi="zh-CN"/>
        </w:rPr>
        <w:t xml:space="preserve"> </w:t>
      </w:r>
    </w:p>
    <w:p w14:paraId="4F7C4C0F">
      <w:pPr>
        <w:keepNext w:val="0"/>
        <w:keepLines w:val="0"/>
        <w:pageBreakBefore w:val="0"/>
        <w:widowControl w:val="0"/>
        <w:tabs>
          <w:tab w:val="left" w:pos="6559"/>
        </w:tabs>
        <w:kinsoku/>
        <w:wordWrap/>
        <w:overflowPunct/>
        <w:topLinePunct w:val="0"/>
        <w:autoSpaceDE w:val="0"/>
        <w:autoSpaceDN w:val="0"/>
        <w:bidi w:val="0"/>
        <w:adjustRightInd/>
        <w:snapToGrid/>
        <w:spacing w:line="360" w:lineRule="auto"/>
        <w:ind w:left="0" w:leftChars="0" w:right="0" w:firstLine="1216" w:firstLineChars="400"/>
        <w:jc w:val="left"/>
        <w:textAlignment w:val="auto"/>
        <w:rPr>
          <w:rFonts w:hint="eastAsia" w:ascii="仿宋" w:hAnsi="仿宋" w:eastAsia="仿宋" w:cs="仿宋"/>
          <w:w w:val="95"/>
          <w:sz w:val="30"/>
          <w:szCs w:val="30"/>
          <w:u w:val="single"/>
          <w:lang w:val="en-US" w:bidi="zh-CN"/>
        </w:rPr>
      </w:pPr>
      <w:r>
        <w:rPr>
          <w:rFonts w:ascii="仿宋" w:hAnsi="仿宋" w:eastAsia="仿宋" w:cs="仿宋"/>
          <w:w w:val="95"/>
          <w:sz w:val="32"/>
          <w:szCs w:val="32"/>
          <w:lang w:val="zh-CN" w:bidi="zh-CN"/>
        </w:rPr>
        <w:t>项目主管部门：</w:t>
      </w:r>
      <w:r>
        <w:rPr>
          <w:rFonts w:hint="eastAsia" w:ascii="仿宋" w:hAnsi="仿宋" w:eastAsia="仿宋" w:cs="仿宋"/>
          <w:w w:val="95"/>
          <w:sz w:val="30"/>
          <w:szCs w:val="30"/>
          <w:u w:val="single"/>
          <w:lang w:val="zh-CN" w:bidi="zh-CN"/>
        </w:rPr>
        <w:t>嘉峪关市</w:t>
      </w:r>
      <w:r>
        <w:rPr>
          <w:rFonts w:hint="eastAsia" w:ascii="仿宋" w:hAnsi="仿宋" w:eastAsia="仿宋" w:cs="仿宋"/>
          <w:w w:val="95"/>
          <w:sz w:val="30"/>
          <w:szCs w:val="30"/>
          <w:u w:val="single"/>
          <w:lang w:val="en-US" w:bidi="zh-CN"/>
        </w:rPr>
        <w:t>文化和旅游局</w:t>
      </w:r>
    </w:p>
    <w:p w14:paraId="4286FD4E">
      <w:pPr>
        <w:keepNext w:val="0"/>
        <w:keepLines w:val="0"/>
        <w:pageBreakBefore w:val="0"/>
        <w:widowControl w:val="0"/>
        <w:tabs>
          <w:tab w:val="left" w:pos="6559"/>
        </w:tabs>
        <w:kinsoku/>
        <w:wordWrap/>
        <w:overflowPunct/>
        <w:topLinePunct w:val="0"/>
        <w:autoSpaceDE w:val="0"/>
        <w:autoSpaceDN w:val="0"/>
        <w:bidi w:val="0"/>
        <w:adjustRightInd/>
        <w:snapToGrid/>
        <w:spacing w:line="360" w:lineRule="auto"/>
        <w:ind w:left="0" w:leftChars="0" w:right="0" w:firstLine="1216" w:firstLineChars="400"/>
        <w:jc w:val="left"/>
        <w:textAlignment w:val="auto"/>
        <w:rPr>
          <w:rFonts w:hint="default" w:ascii="仿宋" w:hAnsi="仿宋" w:eastAsia="仿宋" w:cs="仿宋"/>
          <w:w w:val="95"/>
          <w:sz w:val="32"/>
          <w:szCs w:val="32"/>
          <w:u w:val="single"/>
          <w:lang w:val="en-US" w:bidi="zh-CN"/>
        </w:rPr>
      </w:pPr>
      <w:r>
        <w:rPr>
          <w:rFonts w:ascii="仿宋" w:hAnsi="仿宋" w:eastAsia="仿宋" w:cs="仿宋"/>
          <w:w w:val="95"/>
          <w:sz w:val="32"/>
          <w:szCs w:val="32"/>
          <w:lang w:val="zh-CN" w:bidi="zh-CN"/>
        </w:rPr>
        <w:t>评价实施部门：</w:t>
      </w:r>
      <w:r>
        <w:rPr>
          <w:rFonts w:hint="eastAsia" w:ascii="仿宋" w:hAnsi="仿宋" w:eastAsia="仿宋" w:cs="仿宋"/>
          <w:w w:val="95"/>
          <w:sz w:val="30"/>
          <w:szCs w:val="30"/>
          <w:u w:val="single"/>
          <w:lang w:val="zh-CN" w:bidi="zh-CN"/>
        </w:rPr>
        <w:t>嘉峪关</w:t>
      </w:r>
      <w:r>
        <w:rPr>
          <w:rFonts w:hint="eastAsia" w:ascii="仿宋" w:hAnsi="仿宋" w:eastAsia="仿宋" w:cs="仿宋"/>
          <w:w w:val="95"/>
          <w:sz w:val="30"/>
          <w:szCs w:val="30"/>
          <w:u w:val="single"/>
          <w:lang w:val="en-US" w:bidi="zh-CN"/>
        </w:rPr>
        <w:t>城市博物馆</w:t>
      </w:r>
    </w:p>
    <w:p w14:paraId="564168B7">
      <w:pPr>
        <w:keepNext w:val="0"/>
        <w:keepLines w:val="0"/>
        <w:pageBreakBefore w:val="0"/>
        <w:widowControl w:val="0"/>
        <w:tabs>
          <w:tab w:val="left" w:pos="6559"/>
        </w:tabs>
        <w:kinsoku/>
        <w:wordWrap/>
        <w:overflowPunct/>
        <w:topLinePunct w:val="0"/>
        <w:autoSpaceDE w:val="0"/>
        <w:autoSpaceDN w:val="0"/>
        <w:bidi w:val="0"/>
        <w:adjustRightInd/>
        <w:snapToGrid/>
        <w:spacing w:line="360" w:lineRule="auto"/>
        <w:ind w:left="0" w:leftChars="0" w:right="0" w:firstLine="1216" w:firstLineChars="400"/>
        <w:jc w:val="left"/>
        <w:textAlignment w:val="auto"/>
        <w:rPr>
          <w:rFonts w:ascii="仿宋" w:hAnsi="仿宋" w:eastAsia="仿宋" w:cs="仿宋"/>
          <w:w w:val="95"/>
          <w:sz w:val="32"/>
          <w:szCs w:val="32"/>
          <w:u w:val="single"/>
          <w:lang w:val="zh-CN" w:bidi="zh-CN"/>
        </w:rPr>
      </w:pPr>
      <w:r>
        <w:rPr>
          <w:rFonts w:ascii="仿宋" w:hAnsi="仿宋" w:eastAsia="仿宋" w:cs="仿宋"/>
          <w:w w:val="95"/>
          <w:sz w:val="32"/>
          <w:szCs w:val="32"/>
          <w:lang w:val="zh-CN" w:bidi="zh-CN"/>
        </w:rPr>
        <w:t>评价机构名称：</w:t>
      </w:r>
    </w:p>
    <w:p w14:paraId="5C9594ED">
      <w:pPr>
        <w:autoSpaceDE w:val="0"/>
        <w:autoSpaceDN w:val="0"/>
        <w:jc w:val="left"/>
        <w:rPr>
          <w:rFonts w:ascii="Times New Roman" w:hAnsi="仿宋" w:eastAsia="仿宋" w:cs="仿宋"/>
          <w:sz w:val="20"/>
          <w:szCs w:val="32"/>
          <w:lang w:val="zh-CN" w:bidi="zh-CN"/>
        </w:rPr>
      </w:pPr>
    </w:p>
    <w:p w14:paraId="38E11B6D">
      <w:pPr>
        <w:autoSpaceDE w:val="0"/>
        <w:autoSpaceDN w:val="0"/>
        <w:jc w:val="left"/>
        <w:rPr>
          <w:rFonts w:ascii="Times New Roman" w:hAnsi="仿宋" w:eastAsia="仿宋" w:cs="仿宋"/>
          <w:sz w:val="20"/>
          <w:szCs w:val="32"/>
          <w:lang w:val="zh-CN" w:bidi="zh-CN"/>
        </w:rPr>
      </w:pPr>
    </w:p>
    <w:p w14:paraId="3D0BEB53">
      <w:pPr>
        <w:autoSpaceDE w:val="0"/>
        <w:autoSpaceDN w:val="0"/>
        <w:jc w:val="left"/>
        <w:rPr>
          <w:rFonts w:ascii="Times New Roman" w:hAnsi="仿宋" w:eastAsia="仿宋" w:cs="仿宋"/>
          <w:sz w:val="20"/>
          <w:szCs w:val="32"/>
          <w:lang w:val="zh-CN" w:bidi="zh-CN"/>
        </w:rPr>
      </w:pPr>
    </w:p>
    <w:p w14:paraId="44230919">
      <w:pPr>
        <w:autoSpaceDE w:val="0"/>
        <w:autoSpaceDN w:val="0"/>
        <w:jc w:val="left"/>
        <w:rPr>
          <w:rFonts w:ascii="Times New Roman" w:hAnsi="仿宋" w:eastAsia="仿宋" w:cs="仿宋"/>
          <w:sz w:val="20"/>
          <w:szCs w:val="32"/>
          <w:lang w:val="zh-CN" w:bidi="zh-CN"/>
        </w:rPr>
      </w:pPr>
    </w:p>
    <w:p w14:paraId="2DC2B149">
      <w:pPr>
        <w:autoSpaceDE w:val="0"/>
        <w:autoSpaceDN w:val="0"/>
        <w:jc w:val="left"/>
        <w:rPr>
          <w:rFonts w:ascii="Times New Roman" w:hAnsi="仿宋" w:eastAsia="仿宋" w:cs="仿宋"/>
          <w:sz w:val="20"/>
          <w:szCs w:val="32"/>
          <w:lang w:val="zh-CN" w:bidi="zh-CN"/>
        </w:rPr>
      </w:pPr>
    </w:p>
    <w:p w14:paraId="54AE2742">
      <w:pPr>
        <w:autoSpaceDE w:val="0"/>
        <w:autoSpaceDN w:val="0"/>
        <w:jc w:val="left"/>
        <w:rPr>
          <w:rFonts w:ascii="Times New Roman" w:hAnsi="仿宋" w:eastAsia="仿宋" w:cs="仿宋"/>
          <w:sz w:val="20"/>
          <w:szCs w:val="32"/>
          <w:lang w:val="zh-CN" w:bidi="zh-CN"/>
        </w:rPr>
      </w:pPr>
    </w:p>
    <w:p w14:paraId="5E5A9E0E">
      <w:pPr>
        <w:autoSpaceDE w:val="0"/>
        <w:autoSpaceDN w:val="0"/>
        <w:jc w:val="left"/>
        <w:rPr>
          <w:rFonts w:ascii="Times New Roman" w:hAnsi="仿宋" w:eastAsia="仿宋" w:cs="仿宋"/>
          <w:sz w:val="20"/>
          <w:szCs w:val="32"/>
          <w:lang w:val="zh-CN" w:bidi="zh-CN"/>
        </w:rPr>
      </w:pPr>
    </w:p>
    <w:p w14:paraId="1A6DFF46">
      <w:pPr>
        <w:autoSpaceDE w:val="0"/>
        <w:autoSpaceDN w:val="0"/>
        <w:jc w:val="left"/>
        <w:rPr>
          <w:rFonts w:ascii="Times New Roman" w:hAnsi="仿宋" w:eastAsia="仿宋" w:cs="仿宋"/>
          <w:sz w:val="20"/>
          <w:szCs w:val="32"/>
          <w:lang w:val="zh-CN" w:bidi="zh-CN"/>
        </w:rPr>
      </w:pPr>
    </w:p>
    <w:p w14:paraId="24085B6F">
      <w:pPr>
        <w:autoSpaceDE w:val="0"/>
        <w:autoSpaceDN w:val="0"/>
        <w:jc w:val="left"/>
        <w:rPr>
          <w:rFonts w:ascii="Times New Roman" w:hAnsi="仿宋" w:eastAsia="仿宋" w:cs="仿宋"/>
          <w:sz w:val="20"/>
          <w:szCs w:val="32"/>
          <w:lang w:val="zh-CN" w:bidi="zh-CN"/>
        </w:rPr>
      </w:pPr>
    </w:p>
    <w:p w14:paraId="2C7638B4">
      <w:pPr>
        <w:autoSpaceDE w:val="0"/>
        <w:autoSpaceDN w:val="0"/>
        <w:spacing w:before="4"/>
        <w:jc w:val="left"/>
        <w:rPr>
          <w:rFonts w:ascii="Times New Roman" w:hAnsi="仿宋" w:eastAsia="仿宋" w:cs="仿宋"/>
          <w:sz w:val="16"/>
          <w:szCs w:val="32"/>
          <w:lang w:val="zh-CN" w:bidi="zh-CN"/>
        </w:rPr>
      </w:pPr>
    </w:p>
    <w:p w14:paraId="7811574A">
      <w:pPr>
        <w:jc w:val="center"/>
        <w:sectPr>
          <w:footerReference r:id="rId3" w:type="default"/>
          <w:pgSz w:w="11920" w:h="16850"/>
          <w:pgMar w:top="1600" w:right="1380" w:bottom="1340" w:left="1360" w:header="0" w:footer="1157" w:gutter="0"/>
          <w:cols w:space="720" w:num="1"/>
        </w:sectPr>
      </w:pPr>
    </w:p>
    <w:p w14:paraId="5DFC6E3D">
      <w:pPr>
        <w:autoSpaceDE w:val="0"/>
        <w:autoSpaceDN w:val="0"/>
        <w:spacing w:before="37"/>
        <w:ind w:right="1024"/>
        <w:jc w:val="center"/>
        <w:outlineLvl w:val="1"/>
        <w:rPr>
          <w:rFonts w:hint="eastAsia" w:ascii="方正小标宋简体" w:hAnsi="方正小标宋简体" w:eastAsia="方正小标宋简体" w:cs="方正小标宋简体"/>
          <w:b/>
          <w:bCs/>
          <w:sz w:val="44"/>
          <w:szCs w:val="44"/>
          <w:lang w:val="zh-CN" w:bidi="zh-CN"/>
        </w:rPr>
      </w:pPr>
      <w:r>
        <w:rPr>
          <w:rFonts w:hint="eastAsia" w:ascii="方正小标宋简体" w:hAnsi="方正小标宋简体" w:eastAsia="方正小标宋简体" w:cs="方正小标宋简体"/>
          <w:b/>
          <w:bCs/>
          <w:sz w:val="44"/>
          <w:szCs w:val="44"/>
          <w:lang w:val="en-US" w:bidi="zh-CN"/>
        </w:rPr>
        <w:t xml:space="preserve">   </w:t>
      </w:r>
      <w:r>
        <w:rPr>
          <w:rFonts w:hint="eastAsia" w:ascii="方正小标宋简体" w:hAnsi="方正小标宋简体" w:eastAsia="方正小标宋简体" w:cs="方正小标宋简体"/>
          <w:b w:val="0"/>
          <w:bCs w:val="0"/>
          <w:sz w:val="44"/>
          <w:szCs w:val="44"/>
          <w:lang w:val="en-US" w:bidi="zh-CN"/>
        </w:rPr>
        <w:t xml:space="preserve"> 嘉峪关城市博物馆部门重点</w:t>
      </w:r>
      <w:r>
        <w:rPr>
          <w:rFonts w:hint="eastAsia" w:ascii="方正小标宋简体" w:hAnsi="方正小标宋简体" w:eastAsia="方正小标宋简体" w:cs="方正小标宋简体"/>
          <w:b w:val="0"/>
          <w:bCs w:val="0"/>
          <w:sz w:val="44"/>
          <w:szCs w:val="44"/>
          <w:lang w:val="zh-CN" w:bidi="zh-CN"/>
        </w:rPr>
        <w:t>评价报告</w:t>
      </w:r>
    </w:p>
    <w:p w14:paraId="192FE9BE">
      <w:pPr>
        <w:rPr>
          <w:rFonts w:ascii="宋体" w:hAnsi="宋体" w:eastAsia="宋体" w:cs="宋体"/>
          <w:sz w:val="24"/>
          <w:szCs w:val="24"/>
        </w:rPr>
      </w:pPr>
    </w:p>
    <w:p w14:paraId="2BBCC5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根据甘肃省财政厅《关于做好中央公共</w:t>
      </w:r>
      <w:bookmarkStart w:id="0" w:name="_GoBack"/>
      <w:bookmarkEnd w:id="0"/>
      <w:r>
        <w:rPr>
          <w:rFonts w:hint="eastAsia" w:ascii="仿宋_GB2312" w:hAnsi="仿宋_GB2312" w:eastAsia="仿宋_GB2312" w:cs="仿宋_GB2312"/>
          <w:sz w:val="32"/>
          <w:szCs w:val="32"/>
        </w:rPr>
        <w:t>文化服务体系建设项目绩效评价工作的通知》（甘财科函[2023]1 号），我馆就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年度下达的资金和实施的项目认真进行了绩效自评工作，现将绩效评价情况报告如下：</w:t>
      </w:r>
    </w:p>
    <w:p w14:paraId="793A3346">
      <w:pPr>
        <w:numPr>
          <w:ilvl w:val="0"/>
          <w:numId w:val="1"/>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绩效目标分解下达情况</w:t>
      </w:r>
    </w:p>
    <w:p w14:paraId="760858AC">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上级下达：</w:t>
      </w:r>
      <w:r>
        <w:rPr>
          <w:rFonts w:hint="eastAsia" w:ascii="仿宋_GB2312" w:hAnsi="仿宋_GB2312" w:eastAsia="仿宋_GB2312" w:cs="仿宋_GB2312"/>
          <w:sz w:val="32"/>
          <w:szCs w:val="32"/>
        </w:rPr>
        <w:t>根据</w:t>
      </w:r>
      <w:r>
        <w:rPr>
          <w:rFonts w:hint="eastAsia" w:ascii="Times New Roman" w:hAnsi="Times New Roman" w:eastAsia="仿宋_GB2312"/>
          <w:sz w:val="32"/>
          <w:szCs w:val="32"/>
        </w:rPr>
        <w:t>《甘肃省</w:t>
      </w:r>
      <w:r>
        <w:rPr>
          <w:rFonts w:hint="eastAsia" w:ascii="Times New Roman" w:hAnsi="Times New Roman" w:eastAsia="仿宋_GB2312"/>
          <w:sz w:val="32"/>
          <w:szCs w:val="32"/>
          <w:lang w:val="en-US" w:eastAsia="zh-CN"/>
        </w:rPr>
        <w:t>财政厅关于提前下达2024年博物馆纪念馆免费开放补助资金预算的通知</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（甘财科(202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号)下达我市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年下达我市绩效奖励资金</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 xml:space="preserve"> 万元。</w:t>
      </w:r>
    </w:p>
    <w:p w14:paraId="243E07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市级安排：</w:t>
      </w:r>
      <w:r>
        <w:rPr>
          <w:rFonts w:hint="eastAsia" w:ascii="仿宋_GB2312" w:hAnsi="仿宋_GB2312" w:eastAsia="仿宋_GB2312" w:cs="仿宋_GB2312"/>
          <w:sz w:val="32"/>
          <w:szCs w:val="32"/>
        </w:rPr>
        <w:t>根据</w:t>
      </w:r>
      <w:r>
        <w:rPr>
          <w:rFonts w:hint="eastAsia" w:ascii="Times New Roman" w:hAnsi="Times New Roman" w:eastAsia="仿宋_GB2312"/>
          <w:sz w:val="32"/>
          <w:szCs w:val="32"/>
        </w:rPr>
        <w:t>《甘肃省</w:t>
      </w:r>
      <w:r>
        <w:rPr>
          <w:rFonts w:hint="eastAsia" w:ascii="Times New Roman" w:hAnsi="Times New Roman" w:eastAsia="仿宋_GB2312"/>
          <w:sz w:val="32"/>
          <w:szCs w:val="32"/>
          <w:lang w:val="en-US" w:eastAsia="zh-CN"/>
        </w:rPr>
        <w:t>财政厅关于提前下达2024年博物馆纪念馆免费开放补助资金预算的通知</w:t>
      </w:r>
      <w:r>
        <w:rPr>
          <w:rFonts w:hint="eastAsia" w:ascii="Times New Roman" w:hAnsi="Times New Roman" w:eastAsia="仿宋_GB2312"/>
          <w:sz w:val="32"/>
          <w:szCs w:val="32"/>
        </w:rPr>
        <w:t>》（甘</w:t>
      </w:r>
      <w:r>
        <w:rPr>
          <w:rFonts w:hint="eastAsia" w:ascii="Times New Roman" w:hAnsi="Times New Roman" w:eastAsia="仿宋_GB2312"/>
          <w:sz w:val="32"/>
          <w:szCs w:val="32"/>
          <w:lang w:val="en-US" w:eastAsia="zh-CN"/>
        </w:rPr>
        <w:t>财科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88</w:t>
      </w:r>
      <w:r>
        <w:rPr>
          <w:rFonts w:hint="eastAsia" w:ascii="Times New Roman" w:hAnsi="Times New Roman" w:eastAsia="仿宋_GB2312" w:cs="仿宋_GB2312"/>
          <w:kern w:val="0"/>
          <w:sz w:val="32"/>
          <w:szCs w:val="32"/>
          <w:u w:val="none" w:color="000000"/>
        </w:rPr>
        <w:t>号）</w:t>
      </w:r>
      <w:r>
        <w:rPr>
          <w:rFonts w:hint="eastAsia" w:ascii="Times New Roman" w:hAnsi="Times New Roman" w:eastAsia="仿宋_GB2312" w:cs="仿宋_GB2312"/>
          <w:sz w:val="32"/>
          <w:szCs w:val="32"/>
        </w:rPr>
        <w:t>要求，</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sz w:val="32"/>
          <w:szCs w:val="32"/>
        </w:rPr>
        <w:t>下达我</w:t>
      </w:r>
      <w:r>
        <w:rPr>
          <w:rFonts w:hint="eastAsia" w:ascii="Times New Roman" w:hAnsi="Times New Roman" w:eastAsia="仿宋_GB2312"/>
          <w:sz w:val="32"/>
          <w:szCs w:val="32"/>
          <w:lang w:val="en-US" w:eastAsia="zh-CN"/>
        </w:rPr>
        <w:t>馆免费开放补助资金中央214万元，省级20万元，市级按8:1：1配比原则下拨20万元，2024年共下达项目资金254万元。</w:t>
      </w:r>
    </w:p>
    <w:p w14:paraId="53D9B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实施项目</w:t>
      </w:r>
      <w:r>
        <w:rPr>
          <w:rFonts w:hint="eastAsia" w:ascii="仿宋_GB2312" w:hAnsi="仿宋_GB2312" w:eastAsia="仿宋_GB2312" w:cs="仿宋_GB2312"/>
          <w:sz w:val="32"/>
          <w:szCs w:val="32"/>
        </w:rPr>
        <w:t>：</w:t>
      </w:r>
      <w:r>
        <w:rPr>
          <w:rFonts w:hint="eastAsia" w:ascii="Times New Roman" w:hAnsi="Times New Roman" w:eastAsia="仿宋_GB2312" w:cs="Times New Roman"/>
          <w:color w:val="000000"/>
          <w:kern w:val="0"/>
          <w:sz w:val="32"/>
          <w:szCs w:val="32"/>
          <w:lang w:val="en-US" w:eastAsia="zh-CN" w:bidi="ar-SA"/>
        </w:rPr>
        <w:t>主要就基本陈列、临时展览、讲解导览、青少年教育、社区文化促进、文化产品推广、开放时间量、 观众人次、免费开放制度建设、服务设施、安全管理、藏品管理、学术研究等以上几个开展工作，我馆全面完成了博物馆免费开放绩效考评体系要求的各项工作。</w:t>
      </w:r>
      <w:r>
        <w:rPr>
          <w:rFonts w:hint="eastAsia" w:ascii="仿宋_GB2312" w:hAnsi="仿宋_GB2312" w:eastAsia="仿宋_GB2312" w:cs="仿宋_GB2312"/>
          <w:color w:val="000000" w:themeColor="text1"/>
          <w:spacing w:val="-6"/>
          <w:sz w:val="32"/>
          <w:szCs w:val="32"/>
          <w14:textFill>
            <w14:solidFill>
              <w14:schemeClr w14:val="tx1"/>
            </w14:solidFill>
          </w14:textFill>
        </w:rPr>
        <w:t>全力开展博物馆免费开放各项工作</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取得了良好的社会效益。</w:t>
      </w:r>
    </w:p>
    <w:p w14:paraId="3E6906F2">
      <w:pPr>
        <w:numPr>
          <w:ilvl w:val="0"/>
          <w:numId w:val="1"/>
        </w:num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绩效目标完成情况分析</w:t>
      </w:r>
    </w:p>
    <w:p w14:paraId="0E604258">
      <w:pPr>
        <w:numPr>
          <w:ilvl w:val="0"/>
          <w:numId w:val="2"/>
        </w:numPr>
        <w:ind w:left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资金投入情况分析</w:t>
      </w:r>
    </w:p>
    <w:p w14:paraId="4FAF47C8">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项目资金执行情况分析</w:t>
      </w:r>
      <w:r>
        <w:rPr>
          <w:rFonts w:hint="eastAsia" w:ascii="仿宋_GB2312" w:hAnsi="仿宋_GB2312" w:eastAsia="仿宋_GB2312" w:cs="仿宋_GB2312"/>
          <w:sz w:val="32"/>
          <w:szCs w:val="32"/>
          <w:lang w:val="en-US" w:eastAsia="zh-CN"/>
        </w:rPr>
        <w:t>截止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年 12 月 31 日，项目资金总支出</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资金支出率 100%。 </w:t>
      </w:r>
    </w:p>
    <w:p w14:paraId="16DAF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项目资金管理情况分析</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sz w:val="32"/>
          <w:szCs w:val="32"/>
          <w:lang w:val="en-US" w:eastAsia="zh-CN"/>
        </w:rPr>
        <w:t>根据甘肃省财政厅相关通知，</w:t>
      </w:r>
      <w:r>
        <w:rPr>
          <w:rFonts w:hint="eastAsia" w:ascii="仿宋_GB2312" w:hAnsi="仿宋_GB2312" w:eastAsia="仿宋_GB2312" w:cs="仿宋_GB2312"/>
          <w:color w:val="000000" w:themeColor="text1"/>
          <w:sz w:val="32"/>
          <w:szCs w:val="32"/>
          <w14:textFill>
            <w14:solidFill>
              <w14:schemeClr w14:val="tx1"/>
            </w14:solidFill>
          </w14:textFill>
        </w:rPr>
        <w:t>下拨免费开放补助资金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其中：中央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214万元、省级20万元、市级20万元，</w:t>
      </w:r>
      <w:r>
        <w:rPr>
          <w:rFonts w:hint="eastAsia" w:ascii="仿宋_GB2312" w:hAnsi="仿宋_GB2312" w:eastAsia="仿宋_GB2312" w:cs="仿宋_GB2312"/>
          <w:color w:val="000000" w:themeColor="text1"/>
          <w:sz w:val="32"/>
          <w:szCs w:val="32"/>
          <w14:textFill>
            <w14:solidFill>
              <w14:schemeClr w14:val="tx1"/>
            </w14:solidFill>
          </w14:textFill>
        </w:rPr>
        <w:t>支出2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w:t>
      </w:r>
      <w:r>
        <w:rPr>
          <w:rFonts w:hint="eastAsia" w:ascii="仿宋_GB2312" w:hAnsi="仿宋_GB2312" w:eastAsia="仿宋_GB2312" w:cs="仿宋_GB2312"/>
          <w:color w:val="000000" w:themeColor="text1"/>
          <w:sz w:val="32"/>
          <w:szCs w:val="32"/>
          <w14:textFill>
            <w14:solidFill>
              <w14:schemeClr w14:val="tx1"/>
            </w14:solidFill>
          </w14:textFill>
        </w:rPr>
        <w:t>万元。在资金使用过程中，我馆严格执行《中央对地方博物馆纪念馆免费开放补助资金管理办法》《甘肃省对地方博物馆纪念馆免费开放补助资金管理办法》《嘉峪关市文化和旅游局财务管理制度》《嘉峪关城市博物馆财务制度》《嘉峪关城市博物馆采购办法》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，重大开支均由馆务会、局务会研究通过后实施。年内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w:t>
      </w:r>
      <w:r>
        <w:rPr>
          <w:rFonts w:hint="eastAsia" w:ascii="仿宋_GB2312" w:hAnsi="仿宋_GB2312" w:eastAsia="仿宋_GB2312" w:cs="仿宋_GB2312"/>
          <w:color w:val="000000" w:themeColor="text1"/>
          <w:sz w:val="32"/>
          <w:szCs w:val="32"/>
          <w14:textFill>
            <w14:solidFill>
              <w14:schemeClr w14:val="tx1"/>
            </w14:solidFill>
          </w14:textFill>
        </w:rPr>
        <w:t>开展大额采购项目的商务谈判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场，确保资金合理、规范、高效使用。</w:t>
      </w:r>
    </w:p>
    <w:p w14:paraId="7D80CC00">
      <w:pPr>
        <w:numPr>
          <w:ilvl w:val="0"/>
          <w:numId w:val="2"/>
        </w:numPr>
        <w:ind w:left="420" w:leftChars="20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总体绩效目标完成情况分析</w:t>
      </w:r>
    </w:p>
    <w:p w14:paraId="7FEB67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FangSong_GB2312" w:cs="Times New Roman"/>
          <w:kern w:val="0"/>
          <w:sz w:val="32"/>
          <w:szCs w:val="32"/>
          <w:lang w:val="en-US" w:eastAsia="zh-CN" w:bidi="ar-SA"/>
        </w:rPr>
        <w:t>设置年度绩效总目标为计划完成年度各项工作任务指标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项目执行率100%，充分</w:t>
      </w:r>
      <w:r>
        <w:rPr>
          <w:rFonts w:hint="eastAsia" w:ascii="仿宋_GB2312" w:hAnsi="仿宋_GB2312" w:eastAsia="仿宋_GB2312" w:cs="仿宋_GB2312"/>
          <w:sz w:val="32"/>
          <w:szCs w:val="32"/>
        </w:rPr>
        <w:t>发挥城市博物馆公共文化服务功能</w:t>
      </w:r>
      <w:r>
        <w:rPr>
          <w:rFonts w:hint="eastAsia" w:ascii="Times New Roman" w:hAnsi="Times New Roman" w:eastAsia="仿宋_GB2312" w:cs="Times New Roman"/>
          <w:sz w:val="32"/>
          <w:szCs w:val="32"/>
          <w:lang w:val="en-US" w:eastAsia="zh-CN"/>
        </w:rPr>
        <w:t>，为游客</w:t>
      </w:r>
      <w:r>
        <w:rPr>
          <w:rFonts w:hint="eastAsia" w:ascii="仿宋_GB2312" w:hAnsi="仿宋_GB2312" w:eastAsia="仿宋_GB2312" w:cs="仿宋_GB2312"/>
          <w:sz w:val="32"/>
          <w:szCs w:val="32"/>
        </w:rPr>
        <w:t>全面生动地展示嘉峪关地域历史文化、城市规划、发展建设的全貌，提供更为优质的服务</w:t>
      </w:r>
      <w:r>
        <w:rPr>
          <w:rFonts w:hint="eastAsia" w:ascii="仿宋_GB2312" w:hAnsi="仿宋_GB2312" w:eastAsia="仿宋_GB2312" w:cs="仿宋_GB2312"/>
          <w:sz w:val="32"/>
          <w:szCs w:val="32"/>
          <w:lang w:eastAsia="zh-CN"/>
        </w:rPr>
        <w:t>。</w:t>
      </w:r>
    </w:p>
    <w:p w14:paraId="09CAC35B">
      <w:pPr>
        <w:numPr>
          <w:ilvl w:val="0"/>
          <w:numId w:val="0"/>
        </w:numPr>
        <w:ind w:left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绩效指标完成情况分析</w:t>
      </w:r>
    </w:p>
    <w:p w14:paraId="6F4A926A">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hAnsi="宋体"/>
          <w:lang w:val="en-US" w:eastAsia="zh-CN"/>
        </w:rPr>
      </w:pPr>
      <w:r>
        <w:rPr>
          <w:rFonts w:hint="eastAsia" w:hAnsi="宋体"/>
        </w:rPr>
        <w:t>数量指标</w:t>
      </w:r>
      <w:r>
        <w:rPr>
          <w:rFonts w:hint="eastAsia" w:hAnsi="宋体"/>
          <w:b/>
          <w:bCs w:val="0"/>
        </w:rPr>
        <w:t>：</w:t>
      </w:r>
      <w:r>
        <w:rPr>
          <w:rFonts w:hint="eastAsia" w:hAnsi="宋体"/>
          <w:b w:val="0"/>
          <w:bCs/>
          <w:lang w:eastAsia="zh-CN"/>
        </w:rPr>
        <w:t>（</w:t>
      </w:r>
      <w:r>
        <w:rPr>
          <w:rFonts w:hint="eastAsia" w:hAnsi="宋体"/>
          <w:b w:val="0"/>
          <w:bCs/>
          <w:lang w:val="en-US" w:eastAsia="zh-CN"/>
        </w:rPr>
        <w:t>1</w:t>
      </w:r>
      <w:r>
        <w:rPr>
          <w:rFonts w:hint="eastAsia" w:hAnsi="宋体"/>
          <w:b w:val="0"/>
          <w:bCs/>
          <w:lang w:eastAsia="zh-CN"/>
        </w:rPr>
        <w:t>）</w:t>
      </w:r>
      <w:r>
        <w:rPr>
          <w:rFonts w:hint="eastAsia" w:hAnsi="宋体"/>
          <w:lang w:val="en-US" w:eastAsia="zh-CN"/>
        </w:rPr>
        <w:t>年初指标：</w:t>
      </w:r>
      <w:r>
        <w:rPr>
          <w:rFonts w:hint="eastAsia" w:hAnsi="宋体"/>
        </w:rPr>
        <w:t>完成</w:t>
      </w:r>
      <w:r>
        <w:rPr>
          <w:rFonts w:hint="eastAsia" w:hAnsi="宋体"/>
          <w:lang w:val="en-US" w:eastAsia="zh-CN"/>
        </w:rPr>
        <w:t>免费讲解300场次</w:t>
      </w:r>
      <w:r>
        <w:rPr>
          <w:rFonts w:hint="eastAsia" w:hAnsi="宋体"/>
          <w:lang w:eastAsia="zh-CN"/>
        </w:rPr>
        <w:t>，</w:t>
      </w:r>
      <w:r>
        <w:rPr>
          <w:rFonts w:hint="eastAsia" w:hAnsi="宋体"/>
          <w:lang w:val="en-US" w:eastAsia="zh-CN"/>
        </w:rPr>
        <w:t>年底实际完成情况：全年开展免费讲解315场次；</w:t>
      </w:r>
    </w:p>
    <w:p w14:paraId="4130BB28">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hAnsi="宋体"/>
          <w:lang w:val="en-US" w:eastAsia="zh-CN"/>
        </w:rPr>
      </w:pPr>
      <w:r>
        <w:rPr>
          <w:rFonts w:hint="eastAsia" w:hAnsi="宋体"/>
          <w:lang w:eastAsia="zh-CN"/>
        </w:rPr>
        <w:t>（</w:t>
      </w:r>
      <w:r>
        <w:rPr>
          <w:rFonts w:hint="eastAsia" w:hAnsi="宋体"/>
          <w:lang w:val="en-US" w:eastAsia="zh-CN"/>
        </w:rPr>
        <w:t>2</w:t>
      </w:r>
      <w:r>
        <w:rPr>
          <w:rFonts w:hint="eastAsia" w:hAnsi="宋体"/>
          <w:lang w:eastAsia="zh-CN"/>
        </w:rPr>
        <w:t>）</w:t>
      </w:r>
      <w:r>
        <w:rPr>
          <w:rFonts w:hint="eastAsia" w:hAnsi="宋体"/>
          <w:lang w:val="en-US" w:eastAsia="zh-CN"/>
        </w:rPr>
        <w:t>年初指标：接待参观人数5万人次</w:t>
      </w:r>
      <w:r>
        <w:rPr>
          <w:rFonts w:hint="eastAsia" w:hAnsi="宋体"/>
          <w:lang w:eastAsia="zh-CN"/>
        </w:rPr>
        <w:t>，</w:t>
      </w:r>
      <w:r>
        <w:rPr>
          <w:rFonts w:hint="eastAsia" w:hAnsi="宋体"/>
          <w:lang w:val="en-US" w:eastAsia="zh-CN"/>
        </w:rPr>
        <w:t>年底实际完成情况：接待参观人数5.4万人次；</w:t>
      </w:r>
    </w:p>
    <w:p w14:paraId="403C4794">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hAnsi="宋体"/>
          <w:lang w:val="en-US" w:eastAsia="zh-CN"/>
        </w:rPr>
      </w:pPr>
      <w:r>
        <w:rPr>
          <w:rFonts w:hint="eastAsia" w:hAnsi="宋体"/>
          <w:lang w:eastAsia="zh-CN"/>
        </w:rPr>
        <w:t>（</w:t>
      </w:r>
      <w:r>
        <w:rPr>
          <w:rFonts w:hint="eastAsia" w:hAnsi="宋体"/>
          <w:lang w:val="en-US" w:eastAsia="zh-CN"/>
        </w:rPr>
        <w:t>3</w:t>
      </w:r>
      <w:r>
        <w:rPr>
          <w:rFonts w:hint="eastAsia" w:hAnsi="宋体"/>
          <w:lang w:eastAsia="zh-CN"/>
        </w:rPr>
        <w:t>）</w:t>
      </w:r>
      <w:r>
        <w:rPr>
          <w:rFonts w:hint="eastAsia" w:hAnsi="宋体"/>
          <w:lang w:val="en-US" w:eastAsia="zh-CN"/>
        </w:rPr>
        <w:t>年初指标：举办临时展览4场次，年底实际完成情况：举办临时展览5场次；</w:t>
      </w:r>
    </w:p>
    <w:p w14:paraId="1F459F03">
      <w:pPr>
        <w:pStyle w:val="5"/>
        <w:keepNext w:val="0"/>
        <w:keepLines w:val="0"/>
        <w:pageBreakBefore w:val="0"/>
        <w:numPr>
          <w:ilvl w:val="0"/>
          <w:numId w:val="3"/>
        </w:numPr>
        <w:kinsoku/>
        <w:wordWrap/>
        <w:overflowPunct/>
        <w:topLinePunct w:val="0"/>
        <w:autoSpaceDE/>
        <w:autoSpaceDN/>
        <w:bidi w:val="0"/>
        <w:adjustRightInd/>
        <w:snapToGrid/>
        <w:spacing w:line="560" w:lineRule="exact"/>
        <w:ind w:firstLine="643"/>
        <w:textAlignment w:val="auto"/>
        <w:rPr>
          <w:rFonts w:hint="eastAsia" w:hAnsi="宋体"/>
          <w:lang w:val="en-US" w:eastAsia="zh-CN"/>
        </w:rPr>
      </w:pPr>
      <w:r>
        <w:rPr>
          <w:rFonts w:hint="eastAsia" w:hAnsi="宋体"/>
          <w:lang w:val="en-US" w:eastAsia="zh-CN"/>
        </w:rPr>
        <w:t>年初指标：举办社教活动20场次，年底实际完成情况：举办社教活动26场次；</w:t>
      </w:r>
    </w:p>
    <w:p w14:paraId="5C040B4F">
      <w:pPr>
        <w:pStyle w:val="5"/>
        <w:keepNext w:val="0"/>
        <w:keepLines w:val="0"/>
        <w:pageBreakBefore w:val="0"/>
        <w:numPr>
          <w:ilvl w:val="0"/>
          <w:numId w:val="3"/>
        </w:numPr>
        <w:kinsoku/>
        <w:wordWrap/>
        <w:overflowPunct/>
        <w:topLinePunct w:val="0"/>
        <w:autoSpaceDE/>
        <w:autoSpaceDN/>
        <w:bidi w:val="0"/>
        <w:adjustRightInd/>
        <w:snapToGrid/>
        <w:spacing w:line="560" w:lineRule="exact"/>
        <w:ind w:firstLine="643"/>
        <w:textAlignment w:val="auto"/>
        <w:rPr>
          <w:rFonts w:hAnsi="宋体"/>
        </w:rPr>
      </w:pPr>
      <w:r>
        <w:rPr>
          <w:rFonts w:hint="eastAsia" w:hAnsi="宋体"/>
          <w:lang w:val="en-US" w:eastAsia="zh-CN"/>
        </w:rPr>
        <w:t>年初指标：全年免费开放300天，年底实际完成情况：全年免费开放315天；</w:t>
      </w:r>
    </w:p>
    <w:p w14:paraId="6F89B000">
      <w:pPr>
        <w:pStyle w:val="5"/>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hAnsi="宋体"/>
          <w:lang w:val="en-US" w:eastAsia="zh-CN"/>
        </w:rPr>
      </w:pPr>
      <w:r>
        <w:rPr>
          <w:rFonts w:hint="eastAsia" w:hAnsi="宋体"/>
          <w:lang w:val="en-US" w:eastAsia="zh-CN"/>
        </w:rPr>
        <w:t>年初指标：开展四进活动20次，年底实际完成情况：开展四进活动24次；</w:t>
      </w:r>
    </w:p>
    <w:p w14:paraId="266126B0">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hAnsi="宋体"/>
          <w:lang w:val="en-US"/>
        </w:rPr>
      </w:pPr>
      <w:r>
        <w:rPr>
          <w:rFonts w:hint="eastAsia" w:hAnsi="宋体"/>
          <w:lang w:val="en-US" w:eastAsia="zh-CN"/>
        </w:rPr>
        <w:t>（7）年初指标：举办研学活动2次，年底实际完成情况：举办研学活动4次。</w:t>
      </w:r>
    </w:p>
    <w:p w14:paraId="2668317F">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hAnsi="宋体"/>
          <w:lang w:val="en-US" w:eastAsia="zh-CN"/>
        </w:rPr>
      </w:pPr>
      <w:r>
        <w:rPr>
          <w:rFonts w:hint="eastAsia" w:hAnsi="宋体"/>
          <w:b/>
          <w:bCs w:val="0"/>
          <w:lang w:val="en-US" w:eastAsia="zh-CN"/>
        </w:rPr>
        <w:t>质量指标：</w:t>
      </w:r>
      <w:r>
        <w:rPr>
          <w:rFonts w:hint="eastAsia" w:hAnsi="宋体"/>
          <w:lang w:val="en-US" w:eastAsia="zh-CN"/>
        </w:rPr>
        <w:t>（1）年初指标：群众参与性100%，年底实际完成情况：群众参与率100%；</w:t>
      </w:r>
    </w:p>
    <w:p w14:paraId="17470FD2">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hAnsi="宋体" w:eastAsia="仿宋_GB2312"/>
          <w:lang w:val="en-US" w:eastAsia="zh-CN"/>
        </w:rPr>
      </w:pPr>
      <w:r>
        <w:rPr>
          <w:rFonts w:hint="eastAsia" w:hAnsi="宋体"/>
          <w:lang w:val="en-US" w:eastAsia="zh-CN"/>
        </w:rPr>
        <w:t>（2）年初指标：全年无重大安全事故，年底实际完成情况：全年无重大安全事故。</w:t>
      </w:r>
    </w:p>
    <w:p w14:paraId="4CEBC848">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hAnsi="宋体"/>
          <w:lang w:val="en-US" w:eastAsia="zh-CN"/>
        </w:rPr>
      </w:pPr>
      <w:r>
        <w:rPr>
          <w:rFonts w:hint="eastAsia" w:hAnsi="仿宋_GB2312" w:cs="仿宋_GB2312"/>
          <w:b/>
          <w:bCs w:val="0"/>
        </w:rPr>
        <w:t>时效指标：</w:t>
      </w:r>
      <w:r>
        <w:rPr>
          <w:rFonts w:hint="eastAsia" w:hAnsi="宋体"/>
          <w:lang w:eastAsia="zh-CN"/>
        </w:rPr>
        <w:t>（</w:t>
      </w:r>
      <w:r>
        <w:rPr>
          <w:rFonts w:hint="eastAsia" w:hAnsi="宋体"/>
          <w:lang w:val="en-US" w:eastAsia="zh-CN"/>
        </w:rPr>
        <w:t>1</w:t>
      </w:r>
      <w:r>
        <w:rPr>
          <w:rFonts w:hint="eastAsia" w:hAnsi="宋体"/>
          <w:lang w:eastAsia="zh-CN"/>
        </w:rPr>
        <w:t>）</w:t>
      </w:r>
      <w:r>
        <w:rPr>
          <w:rFonts w:hint="eastAsia" w:hAnsi="宋体"/>
          <w:lang w:val="en-US" w:eastAsia="zh-CN"/>
        </w:rPr>
        <w:t>年初指标：活动完成率达100%，年底实际完成情况：活动完成率达100%；</w:t>
      </w:r>
    </w:p>
    <w:p w14:paraId="2BF7E7FF">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hAnsi="仿宋_GB2312" w:eastAsia="仿宋_GB2312" w:cs="仿宋_GB2312"/>
          <w:lang w:val="en-US" w:eastAsia="zh-CN"/>
        </w:rPr>
      </w:pPr>
      <w:r>
        <w:rPr>
          <w:rFonts w:hint="eastAsia" w:hAnsi="宋体"/>
          <w:lang w:eastAsia="zh-CN"/>
        </w:rPr>
        <w:t>（</w:t>
      </w:r>
      <w:r>
        <w:rPr>
          <w:rFonts w:hint="eastAsia" w:hAnsi="宋体"/>
          <w:lang w:val="en-US" w:eastAsia="zh-CN"/>
        </w:rPr>
        <w:t>2</w:t>
      </w:r>
      <w:r>
        <w:rPr>
          <w:rFonts w:hint="eastAsia" w:hAnsi="宋体"/>
          <w:lang w:eastAsia="zh-CN"/>
        </w:rPr>
        <w:t>）</w:t>
      </w:r>
      <w:r>
        <w:rPr>
          <w:rFonts w:hint="eastAsia" w:hAnsi="宋体"/>
          <w:lang w:val="en-US" w:eastAsia="zh-CN"/>
        </w:rPr>
        <w:t>年初指标：资金支出率100%，年底实际完成情况：资金支出率100%。</w:t>
      </w:r>
    </w:p>
    <w:p w14:paraId="47507953">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hAnsi="宋体"/>
          <w:lang w:val="en-US"/>
        </w:rPr>
      </w:pPr>
      <w:r>
        <w:rPr>
          <w:rFonts w:hint="eastAsia" w:hAnsi="仿宋_GB2312" w:cs="仿宋_GB2312"/>
          <w:b/>
          <w:bCs w:val="0"/>
        </w:rPr>
        <w:t>社会效益指标：</w:t>
      </w:r>
      <w:r>
        <w:rPr>
          <w:rFonts w:hint="eastAsia" w:hAnsi="宋体"/>
          <w:lang w:val="en-US" w:eastAsia="zh-CN"/>
        </w:rPr>
        <w:t>年初指标：官方网站线上访问量、微信公众号等新媒体关注人数不断增加，年底实际完成情况：官方网站线上访问量、微信公众号等新媒体关注人数不断增加。</w:t>
      </w:r>
    </w:p>
    <w:p w14:paraId="1AE059C6">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hAnsi="仿宋_GB2312" w:eastAsia="仿宋_GB2312" w:cs="仿宋_GB2312"/>
          <w:b/>
          <w:bCs w:val="0"/>
          <w:lang w:val="en-US" w:eastAsia="zh-CN"/>
        </w:rPr>
      </w:pPr>
      <w:r>
        <w:rPr>
          <w:rFonts w:hint="eastAsia" w:hAnsi="仿宋_GB2312" w:cs="仿宋_GB2312"/>
          <w:b/>
          <w:bCs w:val="0"/>
        </w:rPr>
        <w:t>服务对象满意度指标：</w:t>
      </w:r>
      <w:r>
        <w:rPr>
          <w:rFonts w:hint="eastAsia" w:hAnsi="宋体"/>
          <w:lang w:val="en-US" w:eastAsia="zh-CN"/>
        </w:rPr>
        <w:t>年初指标：群众满意度90%，年底实际完成情况：群众满意度98%.</w:t>
      </w:r>
    </w:p>
    <w:p w14:paraId="417380D6">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四、绩效自评结果拟应用公开情况</w:t>
      </w:r>
    </w:p>
    <w:p w14:paraId="790190E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sz w:val="32"/>
          <w:szCs w:val="32"/>
          <w:lang w:val="en"/>
        </w:rPr>
      </w:pPr>
      <w:r>
        <w:rPr>
          <w:rFonts w:hint="default" w:ascii="Times New Roman" w:hAnsi="Times New Roman" w:eastAsia="仿宋_GB2312" w:cs="仿宋_GB2312"/>
          <w:color w:val="000000"/>
          <w:sz w:val="32"/>
          <w:szCs w:val="32"/>
          <w:lang w:val="en"/>
        </w:rPr>
        <w:t>我单位根据项目支出后的实际情况与项目申报的绩效目标进行对比分析，</w:t>
      </w:r>
      <w:r>
        <w:rPr>
          <w:rFonts w:hint="eastAsia" w:ascii="Times New Roman" w:hAnsi="Times New Roman" w:eastAsia="仿宋_GB2312" w:cs="仿宋_GB2312"/>
          <w:color w:val="000000"/>
          <w:sz w:val="32"/>
          <w:szCs w:val="32"/>
          <w:lang w:val="en" w:eastAsia="zh-CN"/>
        </w:rPr>
        <w:t>项目执行率</w:t>
      </w:r>
      <w:r>
        <w:rPr>
          <w:rFonts w:hint="eastAsia" w:ascii="Times New Roman" w:hAnsi="Times New Roman" w:eastAsia="仿宋_GB2312" w:cs="仿宋_GB2312"/>
          <w:color w:val="000000"/>
          <w:sz w:val="32"/>
          <w:szCs w:val="32"/>
          <w:lang w:val="en-US" w:eastAsia="zh-CN"/>
        </w:rPr>
        <w:t>100%</w:t>
      </w:r>
      <w:r>
        <w:rPr>
          <w:rFonts w:hint="default" w:ascii="Times New Roman" w:hAnsi="Times New Roman" w:eastAsia="仿宋_GB2312" w:cs="仿宋_GB2312"/>
          <w:color w:val="000000"/>
          <w:sz w:val="32"/>
          <w:szCs w:val="32"/>
          <w:lang w:val="en"/>
        </w:rPr>
        <w:t>，自评结果将及时上报上级主管部门，并</w:t>
      </w:r>
      <w:r>
        <w:rPr>
          <w:rFonts w:hint="eastAsia" w:ascii="Times New Roman" w:hAnsi="Times New Roman" w:eastAsia="仿宋_GB2312" w:cs="仿宋_GB2312"/>
          <w:color w:val="000000"/>
          <w:sz w:val="32"/>
          <w:szCs w:val="32"/>
          <w:lang w:val="en-US" w:eastAsia="zh-CN"/>
        </w:rPr>
        <w:t>适时</w:t>
      </w:r>
      <w:r>
        <w:rPr>
          <w:rFonts w:hint="default" w:ascii="Times New Roman" w:hAnsi="Times New Roman" w:eastAsia="仿宋_GB2312" w:cs="仿宋_GB2312"/>
          <w:color w:val="000000"/>
          <w:sz w:val="32"/>
          <w:szCs w:val="32"/>
          <w:lang w:val="en"/>
        </w:rPr>
        <w:t>公开。</w:t>
      </w:r>
    </w:p>
    <w:p w14:paraId="21CC0DEB">
      <w:pPr>
        <w:numPr>
          <w:ilvl w:val="0"/>
          <w:numId w:val="0"/>
        </w:numPr>
        <w:ind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AABBDCC">
      <w:pPr>
        <w:numPr>
          <w:ilvl w:val="0"/>
          <w:numId w:val="0"/>
        </w:numPr>
        <w:ind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934DB09">
      <w:pPr>
        <w:numPr>
          <w:ilvl w:val="0"/>
          <w:numId w:val="0"/>
        </w:numPr>
        <w:ind w:leftChars="200"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嘉峪关城市博物馆</w:t>
      </w:r>
    </w:p>
    <w:p w14:paraId="056E5BCF">
      <w:pPr>
        <w:numPr>
          <w:ilvl w:val="0"/>
          <w:numId w:val="0"/>
        </w:numPr>
        <w:ind w:leftChars="200" w:firstLine="5440" w:firstLineChars="1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2024年9月18日</w:t>
      </w:r>
    </w:p>
    <w:p w14:paraId="31DF3D18">
      <w:pPr>
        <w:spacing w:line="560" w:lineRule="exact"/>
        <w:ind w:firstLine="640" w:firstLineChars="200"/>
        <w:rPr>
          <w:rFonts w:hint="eastAsia" w:ascii="仿宋_GB2312" w:hAnsi="仿宋_GB2312" w:eastAsia="仿宋_GB2312" w:cs="仿宋_GB2312"/>
          <w:sz w:val="32"/>
          <w:szCs w:val="32"/>
          <w:lang w:val="zh-CN"/>
        </w:rPr>
      </w:pPr>
    </w:p>
    <w:p w14:paraId="66DC7318">
      <w:pPr>
        <w:keepNext w:val="0"/>
        <w:keepLines w:val="0"/>
        <w:pageBreakBefore w:val="0"/>
        <w:widowControl/>
        <w:kinsoku/>
        <w:wordWrap/>
        <w:overflowPunct/>
        <w:topLinePunct w:val="0"/>
        <w:autoSpaceDE/>
        <w:autoSpaceDN/>
        <w:bidi w:val="0"/>
        <w:adjustRightInd/>
        <w:snapToGrid/>
        <w:spacing w:before="100" w:after="100" w:line="520" w:lineRule="exact"/>
        <w:jc w:val="center"/>
        <w:rPr>
          <w:rFonts w:hint="eastAsia" w:ascii="仿宋_GB2312" w:hAnsi="仿宋_GB2312" w:eastAsia="仿宋_GB2312" w:cs="仿宋_GB2312"/>
          <w:sz w:val="32"/>
          <w:szCs w:val="32"/>
          <w:lang w:val="en-US" w:eastAsia="zh-CN"/>
        </w:rPr>
      </w:pPr>
    </w:p>
    <w:p w14:paraId="62BD4805"/>
    <w:sectPr>
      <w:pgSz w:w="12240" w:h="15840"/>
      <w:pgMar w:top="2098" w:right="1474" w:bottom="1701"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84DE">
    <w:pPr>
      <w:autoSpaceDE w:val="0"/>
      <w:autoSpaceDN w:val="0"/>
      <w:spacing w:line="14" w:lineRule="auto"/>
      <w:jc w:val="left"/>
      <w:rPr>
        <w:rFonts w:ascii="仿宋" w:hAnsi="仿宋" w:eastAsia="仿宋" w:cs="仿宋"/>
        <w:sz w:val="20"/>
        <w:szCs w:val="32"/>
        <w:lang w:val="zh-CN" w:bidi="zh-CN"/>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6192ED">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fill on="f" focussize="0,0"/>
              <v:stroke on="f" weight="0.5pt"/>
              <v:imagedata o:title=""/>
              <o:lock v:ext="edit" aspectratio="f"/>
              <v:textbox inset="0mm,0mm,0mm,0mm" style="mso-fit-shape-to-text:t;">
                <w:txbxContent>
                  <w:p w14:paraId="156192ED">
                    <w:pPr>
                      <w:pStyle w:val="4"/>
                    </w:pP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659264" behindDoc="1" locked="0" layoutInCell="1" allowOverlap="1">
              <wp:simplePos x="0" y="0"/>
              <wp:positionH relativeFrom="page">
                <wp:posOffset>3711575</wp:posOffset>
              </wp:positionH>
              <wp:positionV relativeFrom="page">
                <wp:posOffset>9819005</wp:posOffset>
              </wp:positionV>
              <wp:extent cx="1416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a:effectLst/>
                    </wps:spPr>
                    <wps:txbx>
                      <w:txbxContent>
                        <w:p w14:paraId="2D44711A">
                          <w:pPr>
                            <w:autoSpaceDE w:val="0"/>
                            <w:autoSpaceDN w:val="0"/>
                            <w:spacing w:line="220" w:lineRule="exact"/>
                            <w:ind w:left="20"/>
                            <w:jc w:val="left"/>
                            <w:rPr>
                              <w:rFonts w:ascii="宋体" w:hAnsi="仿宋" w:eastAsia="仿宋" w:cs="仿宋"/>
                              <w:kern w:val="0"/>
                              <w:sz w:val="18"/>
                              <w:lang w:val="zh-CN" w:bidi="zh-CN"/>
                            </w:rPr>
                          </w:pPr>
                        </w:p>
                      </w:txbxContent>
                    </wps:txbx>
                    <wps:bodyPr lIns="0" tIns="0" rIns="0" bIns="0" upright="1"/>
                  </wps:wsp>
                </a:graphicData>
              </a:graphic>
            </wp:anchor>
          </w:drawing>
        </mc:Choice>
        <mc:Fallback>
          <w:pict>
            <v:shape id="_x0000_s1026" o:spid="_x0000_s1026" o:spt="202" type="#_x0000_t202" style="position:absolute;left:0pt;margin-left:292.25pt;margin-top:773.15pt;height:11pt;width:11.15pt;mso-position-horizontal-relative:page;mso-position-vertical-relative:page;z-index:-251657216;mso-width-relative:page;mso-height-relative:page;" filled="f" stroked="f" coordsize="21600,21600" o:gfxdata="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VnlNjaAAAADQEAAA8AAAAAAAAAAQAgAAAAIgAAAGRycy9kb3ducmV2Lnht&#10;bFBLAQIUABQAAAAIAIdO4kCfV3ElvgEAAH8DAAAOAAAAAAAAAAEAIAAAACkBAABkcnMvZTJvRG9j&#10;LnhtbFBLBQYAAAAABgAGAFkBAABZBQAAAAA=&#10;">
              <v:fill on="f" focussize="0,0"/>
              <v:stroke on="f"/>
              <v:imagedata o:title=""/>
              <o:lock v:ext="edit" aspectratio="f"/>
              <v:textbox inset="0mm,0mm,0mm,0mm">
                <w:txbxContent>
                  <w:p w14:paraId="2D44711A">
                    <w:pPr>
                      <w:autoSpaceDE w:val="0"/>
                      <w:autoSpaceDN w:val="0"/>
                      <w:spacing w:line="220" w:lineRule="exact"/>
                      <w:ind w:left="20"/>
                      <w:jc w:val="left"/>
                      <w:rPr>
                        <w:rFonts w:ascii="宋体" w:hAnsi="仿宋" w:eastAsia="仿宋" w:cs="仿宋"/>
                        <w:kern w:val="0"/>
                        <w:sz w:val="18"/>
                        <w:lang w:val="zh-CN" w:bidi="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FB404"/>
    <w:multiLevelType w:val="singleLevel"/>
    <w:tmpl w:val="DBEFB404"/>
    <w:lvl w:ilvl="0" w:tentative="0">
      <w:start w:val="1"/>
      <w:numFmt w:val="chineseCounting"/>
      <w:lvlText w:val="(%1)"/>
      <w:lvlJc w:val="left"/>
      <w:pPr>
        <w:tabs>
          <w:tab w:val="left" w:pos="312"/>
        </w:tabs>
      </w:pPr>
      <w:rPr>
        <w:rFonts w:hint="eastAsia"/>
      </w:rPr>
    </w:lvl>
  </w:abstractNum>
  <w:abstractNum w:abstractNumId="1">
    <w:nsid w:val="2D4B3637"/>
    <w:multiLevelType w:val="singleLevel"/>
    <w:tmpl w:val="2D4B3637"/>
    <w:lvl w:ilvl="0" w:tentative="0">
      <w:start w:val="1"/>
      <w:numFmt w:val="chineseCounting"/>
      <w:suff w:val="nothing"/>
      <w:lvlText w:val="%1、"/>
      <w:lvlJc w:val="left"/>
      <w:rPr>
        <w:rFonts w:hint="eastAsia"/>
      </w:rPr>
    </w:lvl>
  </w:abstractNum>
  <w:abstractNum w:abstractNumId="2">
    <w:nsid w:val="4B002FC2"/>
    <w:multiLevelType w:val="singleLevel"/>
    <w:tmpl w:val="4B002FC2"/>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N2ExMGE0MDU2YzI3OTUyNmE5MTViZGI5ZDM3ZTAifQ=="/>
  </w:docVars>
  <w:rsids>
    <w:rsidRoot w:val="00000000"/>
    <w:rsid w:val="0402799B"/>
    <w:rsid w:val="0B4D3BF1"/>
    <w:rsid w:val="0FA21F5A"/>
    <w:rsid w:val="16D74CB7"/>
    <w:rsid w:val="17EA0A1A"/>
    <w:rsid w:val="1AF32F9D"/>
    <w:rsid w:val="26FB22FC"/>
    <w:rsid w:val="27AA5AD0"/>
    <w:rsid w:val="287405B8"/>
    <w:rsid w:val="2BF05B22"/>
    <w:rsid w:val="2F1B6AA6"/>
    <w:rsid w:val="31582513"/>
    <w:rsid w:val="3C6126B2"/>
    <w:rsid w:val="3FBA0B4E"/>
    <w:rsid w:val="42EA0036"/>
    <w:rsid w:val="448B0D0B"/>
    <w:rsid w:val="49AA1C33"/>
    <w:rsid w:val="4B2477C4"/>
    <w:rsid w:val="4F59743D"/>
    <w:rsid w:val="5A3714F8"/>
    <w:rsid w:val="5BAA2391"/>
    <w:rsid w:val="5CAE3391"/>
    <w:rsid w:val="651A5A67"/>
    <w:rsid w:val="681F3395"/>
    <w:rsid w:val="691979A3"/>
    <w:rsid w:val="6DC94220"/>
    <w:rsid w:val="6E330DF9"/>
    <w:rsid w:val="78A5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sz w:val="20"/>
    </w:rPr>
  </w:style>
  <w:style w:type="paragraph" w:styleId="3">
    <w:name w:val="Body Text Indent"/>
    <w:basedOn w:val="1"/>
    <w:qFormat/>
    <w:uiPriority w:val="0"/>
    <w:pPr>
      <w:ind w:firstLine="480" w:firstLineChars="150"/>
    </w:pPr>
    <w:rPr>
      <w:rFonts w:ascii="仿宋_GB2312" w:eastAsia="仿宋_GB2312"/>
      <w:bCs/>
      <w:sz w:val="32"/>
      <w:szCs w:val="3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1528</Words>
  <Characters>1640</Characters>
  <Lines>0</Lines>
  <Paragraphs>0</Paragraphs>
  <TotalTime>4</TotalTime>
  <ScaleCrop>false</ScaleCrop>
  <LinksUpToDate>false</LinksUpToDate>
  <CharactersWithSpaces>1700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2024-09-13T00:51:00Z</dcterms:created>
  <dc:creator>DELL</dc:creator>
  <cp:lastModifiedBy>周晓丰</cp:lastModifiedBy>
  <dcterms:modified xsi:type="dcterms:W3CDTF">2025-09-18T09:54:13Z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C7C63FBA90804A02B9E27740864E952F_13</vt:lpwstr>
  </property>
  <property fmtid="{D5CDD505-2E9C-101B-9397-08002B2CF9AE}" pid="4" name="KSOTemplateDocerSaveRecord">
    <vt:lpwstr>eyJoZGlkIjoiOTI1ZTE5MGFhMDgzZWQ1YjVjNTU3NTA2ZjU2MzY5YWMiLCJ1c2VySWQiOiI3MjIwMzQ1NTQifQ==</vt:lpwstr>
  </property>
</Properties>
</file>